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5F" w:rsidRDefault="00B63A87" w:rsidP="00E0795F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84670FA" wp14:editId="5168F5F2">
            <wp:extent cx="1116330" cy="1116330"/>
            <wp:effectExtent l="0" t="0" r="7620" b="762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0DB">
        <w:rPr>
          <w:rFonts w:asciiTheme="majorHAnsi" w:hAnsiTheme="majorHAnsi"/>
          <w:b/>
          <w:sz w:val="28"/>
          <w:szCs w:val="28"/>
        </w:rPr>
        <w:t xml:space="preserve">            Tryb i harmonogram tworzenia oraz  konsultacji </w:t>
      </w:r>
    </w:p>
    <w:p w:rsidR="008510DB" w:rsidRDefault="00E0795F" w:rsidP="00E0795F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</w:t>
      </w:r>
      <w:r w:rsidR="008510DB">
        <w:rPr>
          <w:rFonts w:asciiTheme="majorHAnsi" w:hAnsiTheme="majorHAnsi"/>
          <w:b/>
          <w:sz w:val="28"/>
          <w:szCs w:val="28"/>
        </w:rPr>
        <w:t>Paktu Na Rzecz Seniorów</w:t>
      </w:r>
    </w:p>
    <w:p w:rsidR="00E0795F" w:rsidRDefault="00E0795F" w:rsidP="008510DB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8510DB" w:rsidRDefault="008510DB" w:rsidP="008510DB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Szanowni Państwo, </w:t>
      </w:r>
    </w:p>
    <w:p w:rsidR="008510DB" w:rsidRDefault="008510DB" w:rsidP="008510D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dobiega końca program  imprez składających się na obchody ROKU UTW, a  w ślad za tym w końcowy etap wchodzą  prace nad dokumentem końcowym nazwanym Paktem Na Rzecz Seniorów.</w:t>
      </w:r>
    </w:p>
    <w:p w:rsidR="008510DB" w:rsidRDefault="008510DB" w:rsidP="008510D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 być on z założenia wyrazem stanowiska wszystkich UTW w szeregu kluczowych sprawach dot. osób starszych, zawierać katalog nowych wyzwań i dobrych praktyk przyjęty dla tworzenia strategii działania UTW,  a także  pakiet postulatów pod adresem władz centralnych tak,  aby ziściła się przedstawiona na Kongresie UTW idea partnerstwa innowacyjnych UTW w kreowaniu polityki senioralnej Państwa. </w:t>
      </w:r>
    </w:p>
    <w:p w:rsidR="008510DB" w:rsidRDefault="008510DB" w:rsidP="008510D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Ogólnopolskie Porozumienie Uniwersytetów Trzeciego Wieku będące koordynatorem prac redakcyjnych  przekazuje do konsultacji roboczy projekt tego dokumentu mając nadzieję, że zechcecie się Państwo konstruktywnie włączyć w tworzenie jego ostatecznej wersji, która zostanie przekazana centralnym władzom, Sejmowi, Senatowi  z rekomendacjami uwzględnienia  zawartych w nim treści w ogólnej strategii Państwa wobec osób starszych.</w:t>
      </w:r>
    </w:p>
    <w:p w:rsidR="008510DB" w:rsidRDefault="008510DB" w:rsidP="008510D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Uniwersytetom Trzeciego Wieku przekażemy ten dokument z rekomendacją wdrażania przyjętej strategii działania. </w:t>
      </w:r>
    </w:p>
    <w:p w:rsidR="008510DB" w:rsidRDefault="008510DB" w:rsidP="008510D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jego oficjalnym przyjęciu, które planowane jest na konferencji w Sejmie w dniu 19 listopada 2012 r. Pakt zostanie upubliczniony i  poddany promocji w wydawnictwach i mediach.</w:t>
      </w:r>
    </w:p>
    <w:p w:rsidR="008510DB" w:rsidRDefault="008510DB" w:rsidP="008510D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Pragniemy podkreślić, że Państwa opinie  i ewentualne uzupełnienia mają ogromne znaczenie dla nadania Paktowi  charakteru dokumentu odzwierciedlającego   poglądy  jak najszerszego  środowiska UTW, a zarazem  akceptowanej przez szerokie grono UTW strategii działania.</w:t>
      </w:r>
    </w:p>
    <w:p w:rsidR="008510DB" w:rsidRDefault="008510DB" w:rsidP="008510D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Zacytowane zaś w Pakcie   przykłady dobrych praktyk   organów  Państwa, jednostek samorządu terytorialnego i samych Uniwersytetów Trzeciego Wieku promować będą jak ufamy pozytywne  działania na rzecz seniorów oraz  inspirować   do naśladownictwa.</w:t>
      </w:r>
    </w:p>
    <w:p w:rsidR="008510DB" w:rsidRDefault="008510DB" w:rsidP="008510D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Mając nadzieję za ożywioną korespondencję w powyższych sprawach pozostaję z poważaniem</w:t>
      </w:r>
    </w:p>
    <w:p w:rsidR="008510DB" w:rsidRDefault="008510DB" w:rsidP="008510D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imieniu autorów </w:t>
      </w:r>
    </w:p>
    <w:p w:rsidR="008510DB" w:rsidRDefault="008510DB" w:rsidP="008510D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Krystyna Lewkowicz</w:t>
      </w:r>
    </w:p>
    <w:p w:rsidR="008510DB" w:rsidRDefault="008510DB" w:rsidP="008510D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Prezes  </w:t>
      </w:r>
    </w:p>
    <w:p w:rsidR="008510DB" w:rsidRDefault="008510DB" w:rsidP="008510D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Ogólnopolskiego Porozumienia </w:t>
      </w:r>
    </w:p>
    <w:p w:rsidR="00E0795F" w:rsidRDefault="008510DB" w:rsidP="008510D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Uniwersytetów Trzeciego Wieku</w:t>
      </w:r>
    </w:p>
    <w:p w:rsidR="00E0795F" w:rsidRDefault="00E0795F" w:rsidP="008510D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510DB" w:rsidRDefault="008510DB" w:rsidP="008510D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8510DB" w:rsidRDefault="008510DB" w:rsidP="008510DB">
      <w:pPr>
        <w:jc w:val="both"/>
        <w:rPr>
          <w:rFonts w:asciiTheme="majorHAnsi" w:hAnsiTheme="majorHAnsi"/>
          <w:sz w:val="24"/>
          <w:szCs w:val="24"/>
        </w:rPr>
      </w:pPr>
    </w:p>
    <w:p w:rsidR="008510DB" w:rsidRDefault="008510DB" w:rsidP="008510D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Harmonogram  konsultacji Paktu na rzecz Seniorów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4671"/>
        <w:gridCol w:w="1249"/>
        <w:gridCol w:w="1512"/>
        <w:gridCol w:w="2772"/>
      </w:tblGrid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zadanie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Instytucja wiodąca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kontakt</w:t>
            </w: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Robocza wersja Paktu Na rzecz Seniorów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15.X.2012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 UTW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Klewkowicz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@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interia.eu</w:t>
            </w: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Przekazan</w:t>
            </w:r>
            <w:r w:rsidR="00DB6D29">
              <w:rPr>
                <w:rFonts w:asciiTheme="majorHAnsi" w:hAnsiTheme="majorHAnsi"/>
                <w:sz w:val="24"/>
                <w:szCs w:val="24"/>
              </w:rPr>
              <w:t>ie  roboczej wersji do powszech</w:t>
            </w:r>
            <w:r>
              <w:rPr>
                <w:rFonts w:asciiTheme="majorHAnsi" w:hAnsiTheme="majorHAnsi"/>
                <w:sz w:val="24"/>
                <w:szCs w:val="24"/>
              </w:rPr>
              <w:t>nej wiadomości i dalszych konsultacji:</w:t>
            </w:r>
            <w:r w:rsidR="00E079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0795F">
              <w:fldChar w:fldCharType="begin"/>
            </w:r>
            <w:r w:rsidR="00E0795F">
              <w:instrText xml:space="preserve"> HYPERLINK "http://www.porozumienieutw.com.pl" </w:instrText>
            </w:r>
            <w:r w:rsidR="00E0795F">
              <w:fldChar w:fldCharType="separate"/>
            </w:r>
            <w:r>
              <w:rPr>
                <w:rStyle w:val="Hipercze"/>
                <w:rFonts w:asciiTheme="majorHAnsi" w:hAnsiTheme="majorHAnsi"/>
                <w:sz w:val="24"/>
                <w:szCs w:val="24"/>
              </w:rPr>
              <w:t>www.porozumienieutw.com.pl</w:t>
            </w:r>
            <w:r w:rsidR="00E0795F">
              <w:rPr>
                <w:rStyle w:val="Hipercze"/>
                <w:rFonts w:asciiTheme="majorHAnsi" w:hAnsiTheme="majorHAnsi"/>
                <w:sz w:val="24"/>
                <w:szCs w:val="24"/>
              </w:rPr>
              <w:fldChar w:fldCharType="end"/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mailem do wszystkich UTW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16.X.2012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UTW SGH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Klewkowicz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@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interia.eu 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Porozumienie@</w:t>
            </w:r>
          </w:p>
          <w:p w:rsidR="00DB6D29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porozumienieutw.com.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pl</w:t>
            </w:r>
            <w:proofErr w:type="spellEnd"/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Przesłanie roboczej wersji Paktu do: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MPiPS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KPRM, Pani Anny Komorowskiej, Zespołu Parlamentarnego ds. UTW, Zespołu Parlamentarnego ds. Osób Starszych, RPO, Rady Fundacji OP UTW, Federacja St. UTW, Fundacji Dla UJ, prof. dr hab. Piotra Błędowskiego, PAFW,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TITę</w:t>
            </w:r>
            <w:proofErr w:type="spellEnd"/>
            <w:r w:rsidR="00DB6D29">
              <w:rPr>
                <w:rFonts w:asciiTheme="majorHAnsi" w:hAnsiTheme="majorHAnsi"/>
                <w:sz w:val="24"/>
                <w:szCs w:val="24"/>
              </w:rPr>
              <w:t>,  in.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16.X.2012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UTW SGH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Zbieranie uwag i propozycji  pisemnych-tworzenie tekstu jednolitego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17-30.X.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2012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Fundacja OP UTW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Klewkowicz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@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interia.eu</w:t>
            </w: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Konsultacje bezpośrednie na końcowych  imprezach roku UTW oraz konferencjach regionalnych ,  w tym:</w:t>
            </w: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Konferencja UTW w Krośnie Odrzańskim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13.XI.12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Komisja Dialogu Społecznego ds. UTW – Forum Dialogu Społecznego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16.XI.12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KDS ds. UTW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Konferencja regionalna Podlaskich UTW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17-18.XI.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2012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UTW w Białymstoku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Narada Komitetu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Organiza</w:t>
            </w:r>
            <w:r w:rsidR="00DB6D29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cyjnego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UTW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OPUTW,Fed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St. UTW, FUJ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Konsultacje instytucjonalne Paktu w wersji z uzupełnieniami UTW,  w  tym: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Kancelaria Prezydenta RP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2-15.XI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Parlamentarny Zespół ds. UTW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2-15.XI.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2012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Poseł Michał Szczerba </w:t>
            </w: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Parlamentarny Zespół ds. Osób Starszych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2-15.XI.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Senator Mieczysław Augustyn </w:t>
            </w: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Departament  Polityki Senioralnej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MPiPS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2-15.XI.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Dyrektor dr Marzena Breza </w:t>
            </w: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Rzecznik Praw Obywatelskich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2-15.XI.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Prof. Irena Lipowicz </w:t>
            </w: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Recenzja  Paktu Na Rzecz Seniorów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17.XI.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2012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prof. dr hab. Piotr Błędowski</w:t>
            </w: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Konferencja podsumowująca obchody ROKU UTW w Sejmie – przedstawienie recenzji i </w:t>
            </w:r>
            <w:r w:rsidR="00DB6D29">
              <w:rPr>
                <w:rFonts w:asciiTheme="majorHAnsi" w:hAnsiTheme="majorHAnsi"/>
                <w:sz w:val="24"/>
                <w:szCs w:val="24"/>
              </w:rPr>
              <w:t>opinii, przyjęcie tekstu jednolitego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19.XI.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2012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Zespól Parlamentarny ds. UTW </w:t>
            </w: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Pierwsza publiczna prezentacja Paktu Na Rzecz Seniorów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8.XII.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2012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Uniwersytet Jagielloński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Fundacja Dla UJ </w:t>
            </w:r>
          </w:p>
        </w:tc>
      </w:tr>
      <w:tr w:rsidR="008510DB" w:rsidTr="008510D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Wydanie Paktu drukiem – ROK 2012 Rokiem UTW i dystrybucja do władz , UTW i innych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ngo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15.XII.</w:t>
            </w:r>
          </w:p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2012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Fundacja OP UTW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B" w:rsidRDefault="008510D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Fundacja OP UTW</w:t>
            </w:r>
          </w:p>
        </w:tc>
      </w:tr>
    </w:tbl>
    <w:p w:rsidR="008510DB" w:rsidRDefault="008510DB" w:rsidP="008510DB">
      <w:pPr>
        <w:jc w:val="both"/>
        <w:rPr>
          <w:rFonts w:asciiTheme="majorHAnsi" w:hAnsiTheme="majorHAnsi"/>
          <w:sz w:val="24"/>
          <w:szCs w:val="24"/>
        </w:rPr>
      </w:pPr>
    </w:p>
    <w:p w:rsidR="008510DB" w:rsidRDefault="008510DB" w:rsidP="008510DB">
      <w:pPr>
        <w:rPr>
          <w:rFonts w:asciiTheme="majorHAnsi" w:hAnsiTheme="majorHAnsi"/>
        </w:rPr>
      </w:pPr>
    </w:p>
    <w:p w:rsidR="00B37179" w:rsidRDefault="00B37179"/>
    <w:sectPr w:rsidR="00B37179" w:rsidSect="00E07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DB"/>
    <w:rsid w:val="008510DB"/>
    <w:rsid w:val="009745C9"/>
    <w:rsid w:val="00B37179"/>
    <w:rsid w:val="00B63A87"/>
    <w:rsid w:val="00DB6D29"/>
    <w:rsid w:val="00E0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10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5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10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5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2012-10-15T04:54:00Z</dcterms:created>
  <dcterms:modified xsi:type="dcterms:W3CDTF">2012-10-15T05:00:00Z</dcterms:modified>
</cp:coreProperties>
</file>